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7A" w:rsidRDefault="00C3337A" w:rsidP="00C3337A"/>
    <w:p w:rsidR="00C3337A" w:rsidRDefault="00C3337A" w:rsidP="00C3337A"/>
    <w:p w:rsidR="00C3337A" w:rsidRPr="00C3337A" w:rsidRDefault="00C3337A" w:rsidP="00C333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ANNUAIRE DROIT ET RELIGIONS 2013-2014</w:t>
      </w:r>
    </w:p>
    <w:p w:rsidR="00C3337A" w:rsidRPr="00C3337A" w:rsidRDefault="00C3337A" w:rsidP="00C333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Volume 7</w:t>
      </w:r>
    </w:p>
    <w:p w:rsidR="00C3337A" w:rsidRDefault="00C3337A" w:rsidP="00C333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337A" w:rsidRPr="00C3337A" w:rsidRDefault="00C3337A" w:rsidP="00C333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SOMMAIRE</w:t>
      </w:r>
    </w:p>
    <w:p w:rsidR="00C3337A" w:rsidRDefault="00C3337A" w:rsidP="00C333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337A" w:rsidRDefault="00C3337A" w:rsidP="00C333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PREMIERE PARTIE</w:t>
      </w:r>
    </w:p>
    <w:p w:rsidR="00C3337A" w:rsidRPr="00C3337A" w:rsidRDefault="00C3337A" w:rsidP="00C333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RECHERCHES</w:t>
      </w: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HERITAGES DES DROIT RELIGIEUX</w:t>
      </w: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La détermination du secret chez les ministres du culte, son histoire et son droit</w:t>
      </w: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Bernard DE PUY-MONTBRUN</w:t>
      </w: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 xml:space="preserve">L’histoire des sources juridiques des </w:t>
      </w:r>
      <w:proofErr w:type="spellStart"/>
      <w:r w:rsidRPr="00C3337A">
        <w:rPr>
          <w:rFonts w:ascii="Times New Roman" w:hAnsi="Times New Roman" w:cs="Times New Roman"/>
        </w:rPr>
        <w:t>waqfs</w:t>
      </w:r>
      <w:proofErr w:type="spellEnd"/>
      <w:r w:rsidRPr="00C3337A">
        <w:rPr>
          <w:rFonts w:ascii="Times New Roman" w:hAnsi="Times New Roman" w:cs="Times New Roman"/>
        </w:rPr>
        <w:t xml:space="preserve"> chrétiens au Liban</w:t>
      </w: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3337A">
        <w:rPr>
          <w:rFonts w:ascii="Times New Roman" w:hAnsi="Times New Roman" w:cs="Times New Roman"/>
        </w:rPr>
        <w:t>Bechara</w:t>
      </w:r>
      <w:proofErr w:type="spellEnd"/>
      <w:r w:rsidRPr="00C3337A">
        <w:rPr>
          <w:rFonts w:ascii="Times New Roman" w:hAnsi="Times New Roman" w:cs="Times New Roman"/>
        </w:rPr>
        <w:t xml:space="preserve"> KARAM</w:t>
      </w: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Pr="00C3337A" w:rsidRDefault="00213EE3" w:rsidP="00C333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L’icône et l’</w:t>
      </w:r>
      <w:proofErr w:type="spellStart"/>
      <w:r>
        <w:rPr>
          <w:rFonts w:ascii="Times New Roman" w:hAnsi="Times New Roman" w:cs="Times New Roman"/>
        </w:rPr>
        <w:t>oe</w:t>
      </w:r>
      <w:r w:rsidR="00C3337A" w:rsidRPr="00C3337A">
        <w:rPr>
          <w:rFonts w:ascii="Times New Roman" w:hAnsi="Times New Roman" w:cs="Times New Roman"/>
        </w:rPr>
        <w:t>uvre</w:t>
      </w:r>
      <w:proofErr w:type="spellEnd"/>
      <w:r w:rsidR="00C3337A" w:rsidRPr="00C3337A">
        <w:rPr>
          <w:rFonts w:ascii="Times New Roman" w:hAnsi="Times New Roman" w:cs="Times New Roman"/>
        </w:rPr>
        <w:t xml:space="preserve"> de l’esprit, de l’un des fondements religieux du droit</w:t>
      </w: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3337A">
        <w:rPr>
          <w:rFonts w:ascii="Times New Roman" w:hAnsi="Times New Roman" w:cs="Times New Roman"/>
        </w:rPr>
        <w:t>d’auteur</w:t>
      </w:r>
      <w:proofErr w:type="gramEnd"/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Philippe MOURON</w:t>
      </w: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Quelques questions religieuses de droit monégasque</w:t>
      </w: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Vincent DE BONNAFOS</w:t>
      </w: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HISTOIRE MODERNE</w:t>
      </w: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Le mariage des protestants en France : XVIe-XVIIIe siècles, entre laïcisation et</w:t>
      </w: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néo-cléricalisation</w:t>
      </w: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Catherine AUDEOUD</w:t>
      </w: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La politique cultuelle des Thermidoriens</w:t>
      </w: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Laurent CONSTANTINI</w:t>
      </w: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La liberté de religion selon le Conseil d’État et Ministre des Cultes Portalis</w:t>
      </w: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Sylvain BOQUET</w:t>
      </w: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FRANCE CONTEMPORAINE</w:t>
      </w: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L’usage religieux de l’espace public, Process</w:t>
      </w:r>
      <w:r w:rsidR="00213EE3">
        <w:rPr>
          <w:rFonts w:ascii="Times New Roman" w:hAnsi="Times New Roman" w:cs="Times New Roman"/>
        </w:rPr>
        <w:t xml:space="preserve">ions, prières de rue et mise en </w:t>
      </w:r>
      <w:proofErr w:type="spellStart"/>
      <w:r w:rsidRPr="00C3337A">
        <w:rPr>
          <w:rFonts w:ascii="Times New Roman" w:hAnsi="Times New Roman" w:cs="Times New Roman"/>
        </w:rPr>
        <w:t>oeuvre</w:t>
      </w:r>
      <w:proofErr w:type="spellEnd"/>
      <w:r w:rsidRPr="00C3337A">
        <w:rPr>
          <w:rFonts w:ascii="Times New Roman" w:hAnsi="Times New Roman" w:cs="Times New Roman"/>
        </w:rPr>
        <w:t xml:space="preserve"> de la loi du 11 octobre 2010 interdisant </w:t>
      </w:r>
      <w:r w:rsidR="00213EE3">
        <w:rPr>
          <w:rFonts w:ascii="Times New Roman" w:hAnsi="Times New Roman" w:cs="Times New Roman"/>
        </w:rPr>
        <w:t xml:space="preserve">la dissimulation du visage dans </w:t>
      </w:r>
      <w:r w:rsidRPr="00C3337A">
        <w:rPr>
          <w:rFonts w:ascii="Times New Roman" w:hAnsi="Times New Roman" w:cs="Times New Roman"/>
        </w:rPr>
        <w:t>l’espace public</w:t>
      </w: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Frédéric DIEU</w:t>
      </w: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La Laïcité constitutionnelle, constitution d</w:t>
      </w:r>
      <w:r w:rsidR="00213EE3">
        <w:rPr>
          <w:rFonts w:ascii="Times New Roman" w:hAnsi="Times New Roman" w:cs="Times New Roman"/>
        </w:rPr>
        <w:t xml:space="preserve">’un principe, affirmation d’une </w:t>
      </w:r>
      <w:r w:rsidRPr="00C3337A">
        <w:rPr>
          <w:rFonts w:ascii="Times New Roman" w:hAnsi="Times New Roman" w:cs="Times New Roman"/>
        </w:rPr>
        <w:t>exception</w:t>
      </w: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Frédéric DIEU</w:t>
      </w:r>
    </w:p>
    <w:p w:rsid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La sanction du refus de délivrer le « guet » f</w:t>
      </w:r>
      <w:r w:rsidR="00213EE3">
        <w:rPr>
          <w:rFonts w:ascii="Times New Roman" w:hAnsi="Times New Roman" w:cs="Times New Roman"/>
        </w:rPr>
        <w:t xml:space="preserve">ondé sur l’absence de règlement  </w:t>
      </w:r>
      <w:r w:rsidRPr="00C3337A">
        <w:rPr>
          <w:rFonts w:ascii="Times New Roman" w:hAnsi="Times New Roman" w:cs="Times New Roman"/>
        </w:rPr>
        <w:t>complet des effets du divorce civil</w:t>
      </w:r>
    </w:p>
    <w:p w:rsidR="00C3337A" w:rsidRPr="00C3337A" w:rsidRDefault="00C3337A" w:rsidP="00C3337A">
      <w:pPr>
        <w:spacing w:after="0" w:line="240" w:lineRule="auto"/>
        <w:rPr>
          <w:rFonts w:ascii="Times New Roman" w:hAnsi="Times New Roman" w:cs="Times New Roman"/>
        </w:rPr>
      </w:pPr>
      <w:r w:rsidRPr="00C3337A">
        <w:rPr>
          <w:rFonts w:ascii="Times New Roman" w:hAnsi="Times New Roman" w:cs="Times New Roman"/>
        </w:rPr>
        <w:t>Jean-Marie HISQUIN</w:t>
      </w:r>
    </w:p>
    <w:p w:rsidR="00C3337A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337A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EUROPE LATINE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Un jumeau régaliste de la loi de 1905 : La « loi » portugaise de séparation des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Eglises et de l’État de 1911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Oscar FERREIRA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La bataille judiciaire autour de l'enseignement à la citoyenneté en Espagne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  <w:r w:rsidRPr="00213EE3">
        <w:rPr>
          <w:rFonts w:ascii="Times New Roman" w:hAnsi="Times New Roman" w:cs="Times New Roman"/>
          <w:lang w:val="es-ES_tradnl"/>
        </w:rPr>
        <w:t>Claude PROESCHEL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s-ES_tradnl"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s-ES_tradnl"/>
        </w:rPr>
      </w:pPr>
      <w:r w:rsidRPr="00213EE3">
        <w:rPr>
          <w:rFonts w:ascii="Times New Roman" w:hAnsi="Times New Roman" w:cs="Times New Roman"/>
          <w:bCs/>
          <w:lang w:val="es-ES_tradnl"/>
        </w:rPr>
        <w:t>Derecho de las confesiones a discriminar a sus empleados por motivos religiosos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Santiago ARRIBAS CANAMARES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MEDITERRANÉE –MOYEN ORIENT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 xml:space="preserve">La Constitution </w:t>
      </w:r>
      <w:proofErr w:type="spellStart"/>
      <w:r w:rsidRPr="00213EE3">
        <w:rPr>
          <w:rFonts w:ascii="Times New Roman" w:hAnsi="Times New Roman" w:cs="Times New Roman"/>
          <w:bCs/>
        </w:rPr>
        <w:t>post-révolutionnaire</w:t>
      </w:r>
      <w:proofErr w:type="spellEnd"/>
      <w:r w:rsidRPr="00213EE3">
        <w:rPr>
          <w:rFonts w:ascii="Times New Roman" w:hAnsi="Times New Roman" w:cs="Times New Roman"/>
          <w:bCs/>
        </w:rPr>
        <w:t xml:space="preserve"> tunisienne : une sécularité assumée ?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Imad KHILLO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Le statut juridique des minorités non musulmanes en Irak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13EE3">
        <w:rPr>
          <w:rFonts w:ascii="Times New Roman" w:hAnsi="Times New Roman" w:cs="Times New Roman"/>
        </w:rPr>
        <w:t>Harith</w:t>
      </w:r>
      <w:proofErr w:type="spellEnd"/>
      <w:r w:rsidRPr="00213EE3">
        <w:rPr>
          <w:rFonts w:ascii="Times New Roman" w:hAnsi="Times New Roman" w:cs="Times New Roman"/>
        </w:rPr>
        <w:t xml:space="preserve"> AL-DABBAG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Liberté et blasphème, Chassé-croisé centré sur le Monde européen et le Monde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213EE3">
        <w:rPr>
          <w:rFonts w:ascii="Times New Roman" w:hAnsi="Times New Roman" w:cs="Times New Roman"/>
          <w:bCs/>
        </w:rPr>
        <w:t>arabe</w:t>
      </w:r>
      <w:proofErr w:type="gramEnd"/>
      <w:r w:rsidRPr="00213EE3">
        <w:rPr>
          <w:rFonts w:ascii="Times New Roman" w:hAnsi="Times New Roman" w:cs="Times New Roman"/>
          <w:bCs/>
        </w:rPr>
        <w:t xml:space="preserve"> (années 1980-années 2010)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Dominique AVON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AFRIQUE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Le droit et la liberté de religion au Cameroun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 xml:space="preserve">Patrick </w:t>
      </w:r>
      <w:proofErr w:type="spellStart"/>
      <w:r w:rsidRPr="00213EE3">
        <w:rPr>
          <w:rFonts w:ascii="Times New Roman" w:hAnsi="Times New Roman" w:cs="Times New Roman"/>
        </w:rPr>
        <w:t>Juvet</w:t>
      </w:r>
      <w:proofErr w:type="spellEnd"/>
      <w:r w:rsidRPr="00213EE3">
        <w:rPr>
          <w:rFonts w:ascii="Times New Roman" w:hAnsi="Times New Roman" w:cs="Times New Roman"/>
        </w:rPr>
        <w:t xml:space="preserve"> LOWÉ GNINTEDEM et Marie DUVALE KODJO GNINTEDEM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DEUXIEME PARTIE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DOSSIER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REGARDS MULTIPLES SUR LA CRIMINALISATION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DE LA POLYGAMIE AU CANADA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ENJEUX SOCIAUX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La polygamie face au droit : des fondements historiques de la civilisation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213EE3">
        <w:rPr>
          <w:rFonts w:ascii="Times New Roman" w:hAnsi="Times New Roman" w:cs="Times New Roman"/>
          <w:bCs/>
        </w:rPr>
        <w:t>occidentale</w:t>
      </w:r>
      <w:proofErr w:type="gramEnd"/>
      <w:r w:rsidRPr="00213EE3">
        <w:rPr>
          <w:rFonts w:ascii="Times New Roman" w:hAnsi="Times New Roman" w:cs="Times New Roman"/>
          <w:bCs/>
        </w:rPr>
        <w:t xml:space="preserve"> à la confrontation des cultures au XIXe siècle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David GILLES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Pourquoi criminaliser la polygamie sans délibération démocratique sur sa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213EE3">
        <w:rPr>
          <w:rFonts w:ascii="Times New Roman" w:hAnsi="Times New Roman" w:cs="Times New Roman"/>
          <w:bCs/>
        </w:rPr>
        <w:t>signification</w:t>
      </w:r>
      <w:proofErr w:type="gramEnd"/>
      <w:r w:rsidRPr="00213EE3">
        <w:rPr>
          <w:rFonts w:ascii="Times New Roman" w:hAnsi="Times New Roman" w:cs="Times New Roman"/>
          <w:bCs/>
        </w:rPr>
        <w:t xml:space="preserve"> ?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Stéphane BERNATCHEZ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Pourquoi et comment la polygamie interroge-t-elle la laïcité au Canada ?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David KOUSSENS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L’ordre public matrimonial à l’épreuve de la polygamie : les choix et les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213EE3">
        <w:rPr>
          <w:rFonts w:ascii="Times New Roman" w:hAnsi="Times New Roman" w:cs="Times New Roman"/>
          <w:bCs/>
        </w:rPr>
        <w:t>incertitudes</w:t>
      </w:r>
      <w:proofErr w:type="gramEnd"/>
      <w:r w:rsidRPr="00213EE3">
        <w:rPr>
          <w:rFonts w:ascii="Times New Roman" w:hAnsi="Times New Roman" w:cs="Times New Roman"/>
          <w:bCs/>
        </w:rPr>
        <w:t xml:space="preserve"> du droit français et québécois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Christelle LANDHEER-CIESLAK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lastRenderedPageBreak/>
        <w:t>ENJEUX JURIDIQUES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La constitutionnalité de la criminalisation de la polygamie au Canada : une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213EE3">
        <w:rPr>
          <w:rFonts w:ascii="Times New Roman" w:hAnsi="Times New Roman" w:cs="Times New Roman"/>
          <w:bCs/>
        </w:rPr>
        <w:t>question</w:t>
      </w:r>
      <w:proofErr w:type="gramEnd"/>
      <w:r w:rsidRPr="00213EE3">
        <w:rPr>
          <w:rFonts w:ascii="Times New Roman" w:hAnsi="Times New Roman" w:cs="Times New Roman"/>
          <w:bCs/>
        </w:rPr>
        <w:t xml:space="preserve"> d’objectif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Marie-Pierre ROBERT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Les représentations des femmes polygames dans le Renvoi relatif à l’article 293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213EE3">
        <w:rPr>
          <w:rFonts w:ascii="Times New Roman" w:hAnsi="Times New Roman" w:cs="Times New Roman"/>
          <w:bCs/>
        </w:rPr>
        <w:t>du</w:t>
      </w:r>
      <w:proofErr w:type="gramEnd"/>
      <w:r w:rsidRPr="00213EE3">
        <w:rPr>
          <w:rFonts w:ascii="Times New Roman" w:hAnsi="Times New Roman" w:cs="Times New Roman"/>
          <w:bCs/>
        </w:rPr>
        <w:t xml:space="preserve"> Code criminel du Canada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Angela CAMPBELL</w:t>
      </w:r>
      <w:bookmarkStart w:id="0" w:name="_GoBack"/>
      <w:bookmarkEnd w:id="0"/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S’opposer à la polygamie : une question d’égalité ou de patriarchie ?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Lori G. BEAMAN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La polygamie, une pratique préjudiciable en soi pour les enfants ? Impacts en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213EE3">
        <w:rPr>
          <w:rFonts w:ascii="Times New Roman" w:hAnsi="Times New Roman" w:cs="Times New Roman"/>
          <w:bCs/>
        </w:rPr>
        <w:t>droit</w:t>
      </w:r>
      <w:proofErr w:type="gramEnd"/>
      <w:r w:rsidRPr="00213EE3">
        <w:rPr>
          <w:rFonts w:ascii="Times New Roman" w:hAnsi="Times New Roman" w:cs="Times New Roman"/>
          <w:bCs/>
        </w:rPr>
        <w:t xml:space="preserve"> pénal, en droit civil et en protection de la jeunesse canadiens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Anne SARIS et Sophie d’AOUST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TROISIEME PARTIE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CHRONIQUES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Chronique Fiscale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Fabrice BIN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Chronique droit civil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Julien COUARD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Chronique liberté d’expression et droit des médias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Emmanuel DERIEUX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Chronique Droit administratif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Nicolas SFEZ et Rémy SCHWARTZ</w:t>
      </w: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3337A" w:rsidRPr="00213EE3" w:rsidRDefault="00C3337A" w:rsidP="00C3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13EE3">
        <w:rPr>
          <w:rFonts w:ascii="Times New Roman" w:hAnsi="Times New Roman" w:cs="Times New Roman"/>
          <w:bCs/>
        </w:rPr>
        <w:t>Chronique de Droit international</w:t>
      </w:r>
    </w:p>
    <w:p w:rsidR="00C3337A" w:rsidRPr="00213EE3" w:rsidRDefault="00C3337A" w:rsidP="00C3337A">
      <w:pPr>
        <w:rPr>
          <w:rFonts w:ascii="Times New Roman" w:hAnsi="Times New Roman" w:cs="Times New Roman"/>
        </w:rPr>
      </w:pPr>
      <w:r w:rsidRPr="00213EE3">
        <w:rPr>
          <w:rFonts w:ascii="Times New Roman" w:hAnsi="Times New Roman" w:cs="Times New Roman"/>
        </w:rPr>
        <w:t>Louis-Léon CHRISTIANS</w:t>
      </w:r>
    </w:p>
    <w:sectPr w:rsidR="00C3337A" w:rsidRPr="0021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7A"/>
    <w:rsid w:val="00060F87"/>
    <w:rsid w:val="00213EE3"/>
    <w:rsid w:val="00C3337A"/>
    <w:rsid w:val="00D555D0"/>
    <w:rsid w:val="00E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dcterms:created xsi:type="dcterms:W3CDTF">2014-02-06T12:42:00Z</dcterms:created>
  <dcterms:modified xsi:type="dcterms:W3CDTF">2014-02-06T12:42:00Z</dcterms:modified>
</cp:coreProperties>
</file>